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4="http://schemas.microsoft.com/office/word/2010/wordml" xmlns:r="http://schemas.openxmlformats.org/officeDocument/2006/relationships"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