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N°14063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2 Place Victor Basch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11890 CARCASSONNE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EPUR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CONCEPTION, FABRICATION DE MACHINES - OUTILS ET DE LEURS COMPOSANTS DESTINES AUX PROFESSIONNELS ET AUX PARTICULIERS » sis HAMEAU DE CAILLENS - 11140 RODOME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